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603F5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伊通县第一人民医院</w:t>
      </w:r>
    </w:p>
    <w:p w14:paraId="4E10F0DB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《心电一张网项目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论证</w:t>
      </w:r>
      <w:r>
        <w:rPr>
          <w:rFonts w:hint="eastAsia" w:ascii="宋体" w:hAnsi="宋体" w:eastAsia="宋体"/>
          <w:b/>
          <w:bCs/>
          <w:sz w:val="32"/>
          <w:szCs w:val="32"/>
        </w:rPr>
        <w:t>会公告》</w:t>
      </w:r>
    </w:p>
    <w:p w14:paraId="7AF4F20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尊敬的各医疗设备厂商：</w:t>
      </w:r>
    </w:p>
    <w:p w14:paraId="6C3A08F0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为提升全县心血管疾病诊疗水平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/>
          <w:sz w:val="28"/>
          <w:szCs w:val="28"/>
        </w:rPr>
        <w:t>更全面、深入地了解当前市场上各类心电设备及解决方案，我院现决定召开心电一张网项目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论证</w:t>
      </w:r>
      <w:r>
        <w:rPr>
          <w:rFonts w:hint="eastAsia" w:ascii="宋体" w:hAnsi="宋体" w:eastAsia="宋体"/>
          <w:sz w:val="28"/>
          <w:szCs w:val="28"/>
        </w:rPr>
        <w:t>会，邀请各相关厂商前来介绍产品及方案。具体事宜如下：</w:t>
      </w:r>
    </w:p>
    <w:p w14:paraId="07FF889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一、会议时间</w:t>
      </w:r>
    </w:p>
    <w:p w14:paraId="7304D7A2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2025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/>
          <w:sz w:val="28"/>
          <w:szCs w:val="28"/>
        </w:rPr>
        <w:t>06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日14:</w:t>
      </w:r>
      <w:r>
        <w:rPr>
          <w:rFonts w:hint="eastAsia"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整</w:t>
      </w:r>
    </w:p>
    <w:p w14:paraId="4678753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二、会议地点</w:t>
      </w:r>
    </w:p>
    <w:p w14:paraId="373DD80B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伊通县第一人民医院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门诊楼四楼会议室</w:t>
      </w:r>
    </w:p>
    <w:p w14:paraId="15906B5A">
      <w:pPr>
        <w:numPr>
          <w:ilvl w:val="0"/>
          <w:numId w:val="1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建设需求</w:t>
      </w:r>
    </w:p>
    <w:p w14:paraId="0A52AFBD">
      <w:pPr>
        <w:numPr>
          <w:numId w:val="0"/>
        </w:numPr>
        <w:ind w:firstLine="64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搭建心电一张网平台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覆盖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本院20个疗区、七台救护车、电诊室以及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下属12家乡镇卫生院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和24家村卫生室，并接入我院集成平台。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院为心电诊断中心，为各成员单位提供心电诊断服务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。要求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识别急性心肌梗死等危急事件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实现胸痛患者的预警识别、高危患者的早期筛查，实现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县域内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急危重症救治流程的智能化改造及实时质控分析，提高区域内心血管疾病急危重症患者抢救和疑难复杂疾病向上转诊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服务能力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56F51C5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、参会厂商要求</w:t>
      </w:r>
    </w:p>
    <w:p w14:paraId="568DC07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1. 必须具备独立法人资格，且在医疗设备领域具有良好的信誉和丰富的经验。</w:t>
      </w:r>
    </w:p>
    <w:p w14:paraId="14569B9C">
      <w:pPr>
        <w:pStyle w:val="31"/>
        <w:numPr>
          <w:ilvl w:val="0"/>
          <w:numId w:val="0"/>
        </w:num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2.各厂商需要为我院提供后期招标用参数，要求满足我院项目建设，且参数须为公共参数，不可有排他性，所提供参数需得到参会各厂商认可。</w:t>
      </w:r>
    </w:p>
    <w:p w14:paraId="171DAC1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. 所提供的心电设备及相关系统需符合以下条件：</w:t>
      </w:r>
    </w:p>
    <w:p w14:paraId="685EADF0">
      <w:pPr>
        <w:pStyle w:val="31"/>
        <w:numPr>
          <w:ilvl w:val="0"/>
          <w:numId w:val="2"/>
        </w:num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支持国产化信创要求，确保产品在国产软硬件环境下的稳定运行，保障信息安全与自主可控。</w:t>
      </w:r>
    </w:p>
    <w:p w14:paraId="1343BF02">
      <w:pPr>
        <w:pStyle w:val="31"/>
        <w:numPr>
          <w:ilvl w:val="0"/>
          <w:numId w:val="2"/>
        </w:num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具备远程实时传输功能，能够实现心电数据的实时、稳定传输，方便医生随时随地进行诊断，提高诊疗效率。</w:t>
      </w:r>
    </w:p>
    <w:p w14:paraId="29037C01">
      <w:pPr>
        <w:pStyle w:val="31"/>
        <w:numPr>
          <w:ilvl w:val="0"/>
          <w:numId w:val="2"/>
        </w:num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满足公安部三级等保认证，建立健全信息安全保障体系，有效保护患者隐私和医院数据安全。</w:t>
      </w:r>
    </w:p>
    <w:p w14:paraId="05B908C2">
      <w:pPr>
        <w:pStyle w:val="31"/>
        <w:numPr>
          <w:ilvl w:val="0"/>
          <w:numId w:val="2"/>
        </w:num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能够满足智慧医疗评级的各级要求，助力医院在智慧医疗建设方面取得显著成效，提升医院整体信息化水平和医疗服务能力。</w:t>
      </w:r>
    </w:p>
    <w:p w14:paraId="6B78AF4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四、会议内容</w:t>
      </w:r>
    </w:p>
    <w:p w14:paraId="0FE97E2E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 1. 各厂商以 PPT 形式进行产品及解决方案介绍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时间要求在15分钟以内，不能少于5分钟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6990F3A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2. 现场问答互动环节，我院专家及相关部门负责人将针对各厂商的介绍进行提问，以便深入了解产品及方案的实际情况。</w:t>
      </w:r>
    </w:p>
    <w:p w14:paraId="4F54BE7A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五、报名方式</w:t>
      </w:r>
    </w:p>
    <w:p w14:paraId="3BFC3973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有意向参会的厂商请于 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6月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8日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14时</w:t>
      </w:r>
      <w:r>
        <w:rPr>
          <w:rFonts w:hint="eastAsia" w:ascii="宋体" w:hAnsi="宋体" w:eastAsia="宋体"/>
          <w:sz w:val="28"/>
          <w:szCs w:val="28"/>
        </w:rPr>
        <w:t>前，将填写完整的《心电一张网项目调研会参会报名表》（见附件）发送至我院指定邮箱 [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xyyzcb@163.com</w:t>
      </w:r>
      <w:r>
        <w:rPr>
          <w:rFonts w:hint="eastAsia" w:ascii="宋体" w:hAnsi="宋体" w:eastAsia="宋体"/>
          <w:sz w:val="28"/>
          <w:szCs w:val="28"/>
        </w:rPr>
        <w:t>]，邮件主题请注明 “心电一张网项目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论证</w:t>
      </w:r>
      <w:r>
        <w:rPr>
          <w:rFonts w:hint="eastAsia" w:ascii="宋体" w:hAnsi="宋体" w:eastAsia="宋体"/>
          <w:sz w:val="28"/>
          <w:szCs w:val="28"/>
        </w:rPr>
        <w:t>会报名 - [公司名称]”。</w:t>
      </w:r>
    </w:p>
    <w:p w14:paraId="3F52B35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六、联系方式</w:t>
      </w:r>
    </w:p>
    <w:p w14:paraId="48F23DE8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联系人：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张旭</w:t>
      </w:r>
    </w:p>
    <w:p w14:paraId="2D0CC1EF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15944470688</w:t>
      </w:r>
    </w:p>
    <w:p w14:paraId="632EFF6A">
      <w:pPr>
        <w:jc w:val="left"/>
        <w:rPr>
          <w:rFonts w:hint="eastAsia" w:ascii="宋体" w:hAnsi="宋体" w:eastAsia="宋体"/>
          <w:sz w:val="28"/>
          <w:szCs w:val="28"/>
        </w:rPr>
      </w:pPr>
    </w:p>
    <w:p w14:paraId="7D7F5734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特此公告。</w:t>
      </w:r>
    </w:p>
    <w:p w14:paraId="7ADA10C7"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伊通县第一人民医院</w:t>
      </w:r>
    </w:p>
    <w:p w14:paraId="7169B303">
      <w:pPr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2025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/>
          <w:sz w:val="28"/>
          <w:szCs w:val="28"/>
        </w:rPr>
        <w:t>06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/>
          <w:sz w:val="28"/>
          <w:szCs w:val="28"/>
        </w:rPr>
        <w:t>05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日</w:t>
      </w:r>
    </w:p>
    <w:p w14:paraId="3ED8DA29">
      <w:pPr>
        <w:widowControl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 w14:paraId="414D5D5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附：心电一张网项目调研会参会报名表</w:t>
      </w:r>
    </w:p>
    <w:tbl>
      <w:tblPr>
        <w:tblStyle w:val="15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248"/>
        <w:gridCol w:w="4536"/>
      </w:tblGrid>
      <w:tr w14:paraId="1B01C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C88C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82D3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信息类别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C22D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具体内容</w:t>
            </w:r>
          </w:p>
        </w:tc>
      </w:tr>
      <w:tr w14:paraId="47A77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2D7D8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F4B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公司名称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B1D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49F8A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35EA5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2EE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联系人姓名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465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278BD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033ED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4FA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联系人职务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41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29F7A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33F2A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B00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E85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59F0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4D8A0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736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9B9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5147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35152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384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是否具备独立法人资格（是/否）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E97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41825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515E5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5DF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产品名称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6BF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6CCC1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14C12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026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是否支持国产化信创要求（是/否）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F26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  <w:bookmarkStart w:id="0" w:name="_GoBack"/>
            <w:bookmarkEnd w:id="0"/>
          </w:p>
        </w:tc>
      </w:tr>
      <w:tr w14:paraId="4F4E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CA838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E6D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是否具备远程实时传输功能（是/否）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987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0661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0E6CF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369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是否满足公安部三级等保认证（是/否）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E10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375A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0D2DC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620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是否满足智慧医疗评级要求（是/否）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470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13077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E1BFF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4CB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是否有类似项目实施经验（是/否）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45F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7FA7E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EC31F">
            <w:pPr>
              <w:pStyle w:val="31"/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050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报名日期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97E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</w:tbl>
    <w:p w14:paraId="59380E79"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49C29"/>
    <w:multiLevelType w:val="singleLevel"/>
    <w:tmpl w:val="4E749C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935D7"/>
    <w:multiLevelType w:val="multilevel"/>
    <w:tmpl w:val="505935D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CED6D06"/>
    <w:multiLevelType w:val="multilevel"/>
    <w:tmpl w:val="7CED6D0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06"/>
    <w:rsid w:val="00040F06"/>
    <w:rsid w:val="005849F5"/>
    <w:rsid w:val="005A6B88"/>
    <w:rsid w:val="00C77FEB"/>
    <w:rsid w:val="00D145B7"/>
    <w:rsid w:val="00D30445"/>
    <w:rsid w:val="00ED2B06"/>
    <w:rsid w:val="0C6003E4"/>
    <w:rsid w:val="24FD433F"/>
    <w:rsid w:val="269E29D2"/>
    <w:rsid w:val="6AF06C35"/>
    <w:rsid w:val="724348E9"/>
    <w:rsid w:val="799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822</Words>
  <Characters>856</Characters>
  <Lines>19</Lines>
  <Paragraphs>15</Paragraphs>
  <TotalTime>4</TotalTime>
  <ScaleCrop>false</ScaleCrop>
  <LinksUpToDate>false</LinksUpToDate>
  <CharactersWithSpaces>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2025-06-04T10:57:00Z</dcterms:created>
  <dc:creator>shuangcheng li</dc:creator>
  <cp:lastModifiedBy>丁振华</cp:lastModifiedBy>
  <dcterms:modified xsi:type="dcterms:W3CDTF">2025-06-05T01:53:35Z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eyJoZGlkIjoiYWQ2MzA5MGJjZWQ2MjVhOTQwNWM3ZDUwZDNkMTFjZTMiLCJ1c2VySWQiOiIyNDk4NjU4MjEifQ==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FFA9E774794F46849F4609EDA048A0C1_13</vt:lpwstr>
  </property>
</Properties>
</file>